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-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7830"/>
      </w:tblGrid>
      <w:tr w:rsidR="00CD7C4F" w14:paraId="1C5C5147" w14:textId="77777777" w:rsidTr="00CD2CA2">
        <w:trPr>
          <w:trHeight w:val="360"/>
        </w:trPr>
        <w:tc>
          <w:tcPr>
            <w:tcW w:w="2610" w:type="dxa"/>
            <w:hideMark/>
          </w:tcPr>
          <w:p w14:paraId="57A2B50D" w14:textId="77777777" w:rsidR="00CD7C4F" w:rsidRDefault="00CD7C4F" w:rsidP="00CD2CA2">
            <w:pPr>
              <w:pStyle w:val="TableParagraph"/>
              <w:spacing w:line="244" w:lineRule="exact"/>
              <w:ind w:left="107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Palmetto Excel Center</w:t>
            </w:r>
          </w:p>
        </w:tc>
        <w:tc>
          <w:tcPr>
            <w:tcW w:w="7830" w:type="dxa"/>
            <w:hideMark/>
          </w:tcPr>
          <w:p w14:paraId="18089582" w14:textId="645974D9" w:rsidR="00CD7C4F" w:rsidRDefault="006E5F7B" w:rsidP="00CD2CA2">
            <w:pPr>
              <w:pStyle w:val="TableParagraph"/>
              <w:spacing w:line="244" w:lineRule="exact"/>
              <w:ind w:right="103"/>
              <w:jc w:val="righ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August</w:t>
            </w:r>
            <w:r w:rsidR="00E57135">
              <w:rPr>
                <w:kern w:val="2"/>
                <w14:ligatures w14:val="standardContextual"/>
              </w:rPr>
              <w:t xml:space="preserve"> 20</w:t>
            </w:r>
            <w:r w:rsidR="00CD7C4F">
              <w:rPr>
                <w:kern w:val="2"/>
                <w14:ligatures w14:val="standardContextual"/>
              </w:rPr>
              <w:t>, 2024</w:t>
            </w:r>
          </w:p>
        </w:tc>
      </w:tr>
      <w:tr w:rsidR="00CD7C4F" w14:paraId="27747767" w14:textId="77777777" w:rsidTr="00CD2CA2">
        <w:trPr>
          <w:trHeight w:val="1539"/>
        </w:trPr>
        <w:tc>
          <w:tcPr>
            <w:tcW w:w="2610" w:type="dxa"/>
            <w:shd w:val="clear" w:color="auto" w:fill="E8E8E8" w:themeFill="background2"/>
            <w:hideMark/>
          </w:tcPr>
          <w:p w14:paraId="1CA6DB59" w14:textId="77777777" w:rsidR="00CD7C4F" w:rsidRDefault="00CD7C4F" w:rsidP="00CD2CA2">
            <w:pPr>
              <w:pStyle w:val="TableParagraph"/>
              <w:spacing w:before="120" w:after="120"/>
              <w:ind w:left="107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ROLL</w:t>
            </w:r>
            <w:r>
              <w:rPr>
                <w:b/>
                <w:spacing w:val="-6"/>
                <w:kern w:val="2"/>
                <w14:ligatures w14:val="standardContextual"/>
              </w:rPr>
              <w:t xml:space="preserve"> </w:t>
            </w:r>
            <w:r>
              <w:rPr>
                <w:b/>
                <w:spacing w:val="-4"/>
                <w:kern w:val="2"/>
                <w14:ligatures w14:val="standardContextual"/>
              </w:rPr>
              <w:t>CALL</w:t>
            </w:r>
          </w:p>
        </w:tc>
        <w:tc>
          <w:tcPr>
            <w:tcW w:w="7830" w:type="dxa"/>
            <w:shd w:val="clear" w:color="auto" w:fill="E8E8E8" w:themeFill="background2"/>
            <w:hideMark/>
          </w:tcPr>
          <w:p w14:paraId="4839B4E8" w14:textId="28D2A883" w:rsidR="00CD7C4F" w:rsidRPr="008279DE" w:rsidRDefault="00CD7C4F" w:rsidP="00CD2CA2">
            <w:pPr>
              <w:pStyle w:val="TableParagraph"/>
              <w:spacing w:before="120" w:after="120"/>
              <w:ind w:left="76"/>
            </w:pPr>
            <w:r w:rsidRPr="008279DE">
              <w:rPr>
                <w:b/>
                <w:bCs/>
                <w:kern w:val="2"/>
                <w14:ligatures w14:val="standardContextual"/>
              </w:rPr>
              <w:t>Board Members present</w:t>
            </w:r>
            <w:r w:rsidRPr="008279DE">
              <w:rPr>
                <w:kern w:val="2"/>
                <w14:ligatures w14:val="standardContextual"/>
              </w:rPr>
              <w:t>: Michael Saboe, Lee Deas, Kellye Whitaker, Diana Saillant, Fran Welch, Amy Mims, Herbert Drayton III, Chris Harvey, Kelley Jarrett, Erica Wright, Brian Itzkowitz</w:t>
            </w:r>
            <w:r w:rsidR="00B02924" w:rsidRPr="008279DE">
              <w:rPr>
                <w:kern w:val="2"/>
                <w14:ligatures w14:val="standardContextual"/>
              </w:rPr>
              <w:t xml:space="preserve">, </w:t>
            </w:r>
            <w:proofErr w:type="spellStart"/>
            <w:r w:rsidR="00B02924" w:rsidRPr="008279DE">
              <w:rPr>
                <w:kern w:val="2"/>
                <w14:ligatures w14:val="standardContextual"/>
              </w:rPr>
              <w:t>Lica</w:t>
            </w:r>
            <w:proofErr w:type="spellEnd"/>
            <w:r w:rsidR="00B02924" w:rsidRPr="008279DE">
              <w:rPr>
                <w:kern w:val="2"/>
                <w14:ligatures w14:val="standardContextual"/>
              </w:rPr>
              <w:t xml:space="preserve"> Cowell</w:t>
            </w:r>
            <w:r w:rsidR="008E6988" w:rsidRPr="008279DE">
              <w:rPr>
                <w:kern w:val="2"/>
                <w14:ligatures w14:val="standardContextual"/>
              </w:rPr>
              <w:t xml:space="preserve">, </w:t>
            </w:r>
          </w:p>
          <w:p w14:paraId="68DDFE5F" w14:textId="281CAAC5" w:rsidR="00CD7C4F" w:rsidRPr="008279DE" w:rsidRDefault="00CD7C4F" w:rsidP="00CD2CA2">
            <w:pPr>
              <w:pStyle w:val="TableParagraph"/>
              <w:spacing w:before="120" w:after="120"/>
              <w:ind w:left="76"/>
            </w:pPr>
            <w:r w:rsidRPr="008279DE">
              <w:rPr>
                <w:b/>
                <w:bCs/>
                <w:kern w:val="2"/>
                <w14:ligatures w14:val="standardContextual"/>
              </w:rPr>
              <w:t>Staff &amp; Consultants present:</w:t>
            </w:r>
            <w:r w:rsidRPr="008279DE">
              <w:rPr>
                <w:kern w:val="2"/>
                <w14:ligatures w14:val="standardContextual"/>
              </w:rPr>
              <w:t xml:space="preserve"> </w:t>
            </w:r>
            <w:r w:rsidR="00B02924" w:rsidRPr="008279DE">
              <w:rPr>
                <w:kern w:val="2"/>
                <w14:ligatures w14:val="standardContextual"/>
              </w:rPr>
              <w:t>Kahdaijah Williams, Dr. Jeremy Easley, Dr. Ruth Chambers-Turner,</w:t>
            </w:r>
            <w:r w:rsidR="006D3E3B" w:rsidRPr="008279DE">
              <w:rPr>
                <w:kern w:val="2"/>
                <w14:ligatures w14:val="standardContextual"/>
              </w:rPr>
              <w:t xml:space="preserve"> Elliot Smalley</w:t>
            </w:r>
            <w:r w:rsidR="008E6988" w:rsidRPr="008279DE">
              <w:rPr>
                <w:kern w:val="2"/>
                <w14:ligatures w14:val="standardContextual"/>
              </w:rPr>
              <w:t>,</w:t>
            </w:r>
            <w:r w:rsidR="0071064B" w:rsidRPr="008279DE">
              <w:rPr>
                <w:kern w:val="2"/>
                <w14:ligatures w14:val="standardContextual"/>
              </w:rPr>
              <w:t xml:space="preserve"> John Reagle</w:t>
            </w:r>
            <w:r w:rsidR="008655A4" w:rsidRPr="008279DE">
              <w:rPr>
                <w:kern w:val="2"/>
                <w14:ligatures w14:val="standardContextual"/>
              </w:rPr>
              <w:t>, Katie Bustamante</w:t>
            </w:r>
            <w:r w:rsidR="00384397" w:rsidRPr="008279DE">
              <w:rPr>
                <w:kern w:val="2"/>
                <w14:ligatures w14:val="standardContextual"/>
              </w:rPr>
              <w:t>, Kim Lane</w:t>
            </w:r>
          </w:p>
        </w:tc>
      </w:tr>
      <w:tr w:rsidR="00CD7C4F" w14:paraId="00647290" w14:textId="77777777" w:rsidTr="00CD2CA2">
        <w:trPr>
          <w:trHeight w:val="540"/>
        </w:trPr>
        <w:tc>
          <w:tcPr>
            <w:tcW w:w="2610" w:type="dxa"/>
            <w:hideMark/>
          </w:tcPr>
          <w:p w14:paraId="3A156BAE" w14:textId="77777777" w:rsidR="00CD7C4F" w:rsidRDefault="00CD7C4F" w:rsidP="00CD2CA2">
            <w:pPr>
              <w:pStyle w:val="TableParagraph"/>
              <w:spacing w:before="123" w:line="276" w:lineRule="auto"/>
              <w:ind w:left="107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CALL</w:t>
            </w:r>
            <w:r>
              <w:rPr>
                <w:b/>
                <w:spacing w:val="-14"/>
                <w:kern w:val="2"/>
                <w14:ligatures w14:val="standardContextual"/>
              </w:rPr>
              <w:t xml:space="preserve"> </w:t>
            </w:r>
            <w:r>
              <w:rPr>
                <w:b/>
                <w:kern w:val="2"/>
                <w14:ligatures w14:val="standardContextual"/>
              </w:rPr>
              <w:t xml:space="preserve">TO </w:t>
            </w:r>
            <w:r>
              <w:rPr>
                <w:b/>
                <w:spacing w:val="-2"/>
                <w:kern w:val="2"/>
                <w14:ligatures w14:val="standardContextual"/>
              </w:rPr>
              <w:t>ORDER</w:t>
            </w:r>
          </w:p>
        </w:tc>
        <w:tc>
          <w:tcPr>
            <w:tcW w:w="7830" w:type="dxa"/>
            <w:hideMark/>
          </w:tcPr>
          <w:p w14:paraId="62D0D411" w14:textId="3307F135" w:rsidR="00CD7C4F" w:rsidRDefault="00E57135" w:rsidP="00CD2CA2">
            <w:pPr>
              <w:pStyle w:val="TableParagraph"/>
              <w:spacing w:before="123" w:line="247" w:lineRule="auto"/>
              <w:ind w:left="75" w:right="106"/>
              <w:jc w:val="both"/>
              <w:rPr>
                <w:kern w:val="2"/>
                <w14:ligatures w14:val="standardContextual"/>
              </w:rPr>
            </w:pPr>
            <w:r w:rsidRPr="00E57135">
              <w:rPr>
                <w:b/>
                <w:bCs/>
                <w:kern w:val="2"/>
                <w14:ligatures w14:val="standardContextual"/>
              </w:rPr>
              <w:t>L. Deas</w:t>
            </w:r>
            <w:r>
              <w:rPr>
                <w:kern w:val="2"/>
                <w14:ligatures w14:val="standardContextual"/>
              </w:rPr>
              <w:t xml:space="preserve"> </w:t>
            </w:r>
            <w:r w:rsidR="00CD7C4F">
              <w:rPr>
                <w:kern w:val="2"/>
                <w14:ligatures w14:val="standardContextual"/>
              </w:rPr>
              <w:t>called the meeting to order at</w:t>
            </w:r>
            <w:r w:rsidR="004E18C8">
              <w:rPr>
                <w:kern w:val="2"/>
                <w14:ligatures w14:val="standardContextual"/>
              </w:rPr>
              <w:t xml:space="preserve"> 3:36pm</w:t>
            </w:r>
            <w:r w:rsidR="00CD7C4F">
              <w:rPr>
                <w:kern w:val="2"/>
                <w14:ligatures w14:val="standardContextual"/>
              </w:rPr>
              <w:t>.</w:t>
            </w:r>
          </w:p>
        </w:tc>
      </w:tr>
      <w:tr w:rsidR="00CD7C4F" w14:paraId="713E4732" w14:textId="77777777" w:rsidTr="00CD2CA2">
        <w:trPr>
          <w:trHeight w:val="288"/>
        </w:trPr>
        <w:tc>
          <w:tcPr>
            <w:tcW w:w="2610" w:type="dxa"/>
            <w:hideMark/>
          </w:tcPr>
          <w:p w14:paraId="288B9E62" w14:textId="77777777" w:rsidR="00CD7C4F" w:rsidRDefault="00CD7C4F" w:rsidP="00CD2CA2">
            <w:pPr>
              <w:pStyle w:val="TableParagraph"/>
              <w:spacing w:before="123" w:line="276" w:lineRule="auto"/>
              <w:ind w:left="107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CONSENT AGENDA</w:t>
            </w:r>
          </w:p>
        </w:tc>
        <w:tc>
          <w:tcPr>
            <w:tcW w:w="7830" w:type="dxa"/>
          </w:tcPr>
          <w:p w14:paraId="0F47E58E" w14:textId="636F23A3" w:rsidR="00CD7C4F" w:rsidRDefault="00CD7C4F" w:rsidP="00CD2CA2">
            <w:pPr>
              <w:pStyle w:val="TableParagraph"/>
              <w:spacing w:before="123" w:line="247" w:lineRule="auto"/>
              <w:ind w:left="75" w:right="106"/>
              <w:jc w:val="both"/>
            </w:pPr>
            <w:r>
              <w:rPr>
                <w:b/>
                <w:bCs/>
                <w:kern w:val="2"/>
                <w14:ligatures w14:val="standardContextual"/>
              </w:rPr>
              <w:t>L. Deas</w:t>
            </w:r>
            <w:r>
              <w:rPr>
                <w:kern w:val="2"/>
                <w14:ligatures w14:val="standardContextual"/>
              </w:rPr>
              <w:t xml:space="preserve"> asked if there were any corrections or concerns with the </w:t>
            </w:r>
            <w:r w:rsidR="00DF25E7">
              <w:rPr>
                <w:kern w:val="2"/>
                <w14:ligatures w14:val="standardContextual"/>
              </w:rPr>
              <w:t xml:space="preserve">August </w:t>
            </w:r>
            <w:r w:rsidR="005A2665">
              <w:rPr>
                <w:kern w:val="2"/>
                <w14:ligatures w14:val="standardContextual"/>
              </w:rPr>
              <w:t>8</w:t>
            </w:r>
            <w:r>
              <w:rPr>
                <w:kern w:val="2"/>
                <w14:ligatures w14:val="standardContextual"/>
              </w:rPr>
              <w:t>, 202</w:t>
            </w:r>
            <w:r w:rsidR="005A2665">
              <w:rPr>
                <w:kern w:val="2"/>
                <w14:ligatures w14:val="standardContextual"/>
              </w:rPr>
              <w:t>4</w:t>
            </w:r>
            <w:r>
              <w:rPr>
                <w:kern w:val="2"/>
                <w14:ligatures w14:val="standardContextual"/>
              </w:rPr>
              <w:t>, meeting minutes. Hearing none, she requested a motion to approve the Consent Agenda and meeting minutes.</w:t>
            </w:r>
          </w:p>
          <w:p w14:paraId="543E332E" w14:textId="77777777" w:rsidR="00CD7C4F" w:rsidRDefault="00CD7C4F" w:rsidP="00CD2CA2">
            <w:pPr>
              <w:pStyle w:val="TableParagraph"/>
              <w:spacing w:before="123" w:line="247" w:lineRule="auto"/>
              <w:ind w:left="75" w:right="106"/>
              <w:jc w:val="both"/>
              <w:rPr>
                <w:kern w:val="2"/>
                <w:sz w:val="6"/>
                <w:szCs w:val="6"/>
                <w14:ligatures w14:val="standardContextual"/>
              </w:rPr>
            </w:pPr>
          </w:p>
        </w:tc>
      </w:tr>
      <w:tr w:rsidR="00CD7C4F" w14:paraId="641C33CC" w14:textId="77777777" w:rsidTr="00CD2CA2">
        <w:trPr>
          <w:trHeight w:val="288"/>
        </w:trPr>
        <w:tc>
          <w:tcPr>
            <w:tcW w:w="2610" w:type="dxa"/>
            <w:shd w:val="clear" w:color="auto" w:fill="D9D9D9" w:themeFill="background1" w:themeFillShade="D9"/>
            <w:hideMark/>
          </w:tcPr>
          <w:p w14:paraId="7D3E410C" w14:textId="77777777" w:rsidR="00CD7C4F" w:rsidRDefault="00CD7C4F" w:rsidP="00CD2CA2">
            <w:pPr>
              <w:pStyle w:val="TableParagraph"/>
              <w:ind w:left="107"/>
              <w:contextualSpacing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MOTION TO APPROVE</w:t>
            </w:r>
          </w:p>
        </w:tc>
        <w:tc>
          <w:tcPr>
            <w:tcW w:w="7830" w:type="dxa"/>
            <w:shd w:val="clear" w:color="auto" w:fill="D9D9D9" w:themeFill="background1" w:themeFillShade="D9"/>
            <w:hideMark/>
          </w:tcPr>
          <w:p w14:paraId="58525B2D" w14:textId="4C28CAE1" w:rsidR="00CD7C4F" w:rsidRDefault="00290AD6" w:rsidP="00CD2CA2">
            <w:pPr>
              <w:pStyle w:val="TableParagraph"/>
              <w:ind w:left="75" w:right="106"/>
              <w:contextualSpacing/>
              <w:rPr>
                <w:b/>
                <w:bCs/>
              </w:rPr>
            </w:pPr>
            <w:r>
              <w:rPr>
                <w:b/>
                <w:bCs/>
                <w:kern w:val="2"/>
                <w14:ligatures w14:val="standardContextual"/>
              </w:rPr>
              <w:t xml:space="preserve">Kelly Jarret </w:t>
            </w:r>
            <w:r w:rsidR="00CD7C4F" w:rsidRPr="279468BD">
              <w:rPr>
                <w:b/>
                <w:bCs/>
                <w:kern w:val="2"/>
                <w14:ligatures w14:val="standardContextual"/>
              </w:rPr>
              <w:t>made</w:t>
            </w:r>
            <w:r w:rsidR="00CD7C4F" w:rsidRPr="700EEBEC">
              <w:rPr>
                <w:b/>
                <w:bCs/>
                <w:kern w:val="2"/>
                <w14:ligatures w14:val="standardContextual"/>
              </w:rPr>
              <w:t xml:space="preserve"> a motion to approve the Consent Agenda as presented.      </w:t>
            </w:r>
          </w:p>
          <w:p w14:paraId="6A80A3E3" w14:textId="452C273C" w:rsidR="00CD7C4F" w:rsidRDefault="00290AD6" w:rsidP="00CD2CA2">
            <w:pPr>
              <w:pStyle w:val="TableParagraph"/>
              <w:ind w:left="75" w:right="106"/>
              <w:contextualSpacing/>
              <w:rPr>
                <w:b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Eri</w:t>
            </w:r>
            <w:r w:rsidR="00DF25E7">
              <w:rPr>
                <w:b/>
                <w:bCs/>
                <w:kern w:val="2"/>
                <w14:ligatures w14:val="standardContextual"/>
              </w:rPr>
              <w:t>ca Wright</w:t>
            </w:r>
            <w:r w:rsidR="00DF25E7" w:rsidRPr="133D45B1">
              <w:rPr>
                <w:b/>
                <w:bCs/>
                <w:kern w:val="2"/>
                <w14:ligatures w14:val="standardContextual"/>
              </w:rPr>
              <w:t xml:space="preserve"> seconded</w:t>
            </w:r>
            <w:r w:rsidR="00CD7C4F">
              <w:rPr>
                <w:b/>
                <w:kern w:val="2"/>
                <w14:ligatures w14:val="standardContextual"/>
              </w:rPr>
              <w:t xml:space="preserve"> the motion. Motion passed unanimously</w:t>
            </w:r>
            <w:r w:rsidR="004D0B72">
              <w:rPr>
                <w:b/>
                <w:kern w:val="2"/>
                <w14:ligatures w14:val="standardContextual"/>
              </w:rPr>
              <w:t xml:space="preserve"> with no discussion</w:t>
            </w:r>
            <w:r w:rsidR="00CD7C4F">
              <w:rPr>
                <w:b/>
                <w:kern w:val="2"/>
                <w14:ligatures w14:val="standardContextual"/>
              </w:rPr>
              <w:t>.</w:t>
            </w:r>
          </w:p>
        </w:tc>
      </w:tr>
      <w:tr w:rsidR="00CD7C4F" w:rsidRPr="001A486B" w14:paraId="4F539354" w14:textId="77777777" w:rsidTr="00CD2CA2">
        <w:trPr>
          <w:trHeight w:val="432"/>
        </w:trPr>
        <w:tc>
          <w:tcPr>
            <w:tcW w:w="2610" w:type="dxa"/>
            <w:hideMark/>
          </w:tcPr>
          <w:p w14:paraId="28FC0E60" w14:textId="77777777" w:rsidR="00CD7C4F" w:rsidRDefault="00CD7C4F" w:rsidP="00CD2CA2">
            <w:pPr>
              <w:pStyle w:val="TableParagraph"/>
              <w:spacing w:before="120" w:after="120"/>
              <w:rPr>
                <w:b/>
                <w:bCs/>
                <w:kern w:val="2"/>
                <w14:ligatures w14:val="standardContextual"/>
              </w:rPr>
            </w:pPr>
            <w:r w:rsidRPr="5463E19C">
              <w:rPr>
                <w:b/>
                <w:bCs/>
                <w:kern w:val="2"/>
                <w14:ligatures w14:val="standardContextual"/>
              </w:rPr>
              <w:t>FINANCIAL REPORT</w:t>
            </w:r>
          </w:p>
        </w:tc>
        <w:tc>
          <w:tcPr>
            <w:tcW w:w="7830" w:type="dxa"/>
          </w:tcPr>
          <w:p w14:paraId="68C0369D" w14:textId="2E914115" w:rsidR="004D0B72" w:rsidRPr="00D15F70" w:rsidRDefault="00C63907" w:rsidP="004D0B72">
            <w:pPr>
              <w:pStyle w:val="TableParagraph"/>
              <w:spacing w:before="120" w:after="120"/>
              <w:ind w:right="106"/>
              <w:jc w:val="both"/>
            </w:pPr>
            <w:r>
              <w:rPr>
                <w:b/>
                <w:bCs/>
              </w:rPr>
              <w:t xml:space="preserve">C. Harvey </w:t>
            </w:r>
          </w:p>
          <w:p w14:paraId="0775404F" w14:textId="00B09818" w:rsidR="00CD7C4F" w:rsidRDefault="004615D4" w:rsidP="00CD2CA2">
            <w:pPr>
              <w:pStyle w:val="TableParagraph"/>
              <w:numPr>
                <w:ilvl w:val="0"/>
                <w:numId w:val="1"/>
              </w:numPr>
              <w:spacing w:before="120" w:after="120"/>
              <w:ind w:right="106"/>
              <w:jc w:val="both"/>
            </w:pPr>
            <w:r>
              <w:t>L. Deas</w:t>
            </w:r>
            <w:r w:rsidR="0061122E">
              <w:t xml:space="preserve"> moved to approve the June </w:t>
            </w:r>
            <w:r w:rsidR="00AE4886">
              <w:t>financials;</w:t>
            </w:r>
            <w:r w:rsidR="0061122E">
              <w:t xml:space="preserve"> Kelley Jarrett seconded the motion. Motion was approved</w:t>
            </w:r>
            <w:r w:rsidR="00AE4886">
              <w:t xml:space="preserve"> unanimously with no discussion</w:t>
            </w:r>
          </w:p>
          <w:p w14:paraId="28C410F5" w14:textId="6118FEA7" w:rsidR="00AE4886" w:rsidRDefault="00AE4886" w:rsidP="00CD2CA2">
            <w:pPr>
              <w:pStyle w:val="TableParagraph"/>
              <w:numPr>
                <w:ilvl w:val="0"/>
                <w:numId w:val="1"/>
              </w:numPr>
              <w:spacing w:before="120" w:after="120"/>
              <w:ind w:right="106"/>
              <w:jc w:val="both"/>
            </w:pPr>
            <w:r w:rsidRPr="004844F8">
              <w:rPr>
                <w:b/>
                <w:bCs/>
              </w:rPr>
              <w:t>Employee Lease Agreement</w:t>
            </w:r>
            <w:r>
              <w:t xml:space="preserve"> – The relationship between Palmetto Goodwill and Palmetto Excel</w:t>
            </w:r>
            <w:r w:rsidR="004615D4">
              <w:t xml:space="preserve">. </w:t>
            </w:r>
            <w:r w:rsidR="007B214D">
              <w:t xml:space="preserve">The </w:t>
            </w:r>
            <w:r w:rsidR="00110C2A">
              <w:t>Lease agreement is effective July 1.</w:t>
            </w:r>
          </w:p>
          <w:p w14:paraId="277A5D66" w14:textId="77777777" w:rsidR="00F84DC5" w:rsidRDefault="00F84DC5" w:rsidP="00F84DC5">
            <w:pPr>
              <w:pStyle w:val="TableParagraph"/>
              <w:numPr>
                <w:ilvl w:val="1"/>
                <w:numId w:val="1"/>
              </w:numPr>
              <w:spacing w:before="120" w:after="120"/>
              <w:ind w:right="106"/>
              <w:jc w:val="both"/>
            </w:pPr>
            <w:r>
              <w:t>Excel recommends an annual review for</w:t>
            </w:r>
            <w:r w:rsidR="00822541">
              <w:t xml:space="preserve"> employee lease agreement.</w:t>
            </w:r>
            <w:r w:rsidR="0054124C">
              <w:t xml:space="preserve"> 90 days must be given before any side wishes to terminate the agreement.</w:t>
            </w:r>
            <w:r w:rsidR="000B5D4A">
              <w:t xml:space="preserve"> Next February 2024 will be the next review of the lease agreement</w:t>
            </w:r>
          </w:p>
          <w:p w14:paraId="40B92783" w14:textId="0D4BAA14" w:rsidR="00D82E7A" w:rsidRPr="004059E6" w:rsidRDefault="00110C2A" w:rsidP="00D82E7A">
            <w:pPr>
              <w:pStyle w:val="TableParagraph"/>
              <w:numPr>
                <w:ilvl w:val="0"/>
                <w:numId w:val="1"/>
              </w:numPr>
              <w:spacing w:before="120" w:after="120"/>
              <w:ind w:right="106"/>
              <w:jc w:val="both"/>
              <w:rPr>
                <w:b/>
                <w:bCs/>
              </w:rPr>
            </w:pPr>
            <w:r w:rsidRPr="004844F8">
              <w:rPr>
                <w:b/>
                <w:bCs/>
              </w:rPr>
              <w:t xml:space="preserve">Edmentum </w:t>
            </w:r>
            <w:r w:rsidR="00CD0ACD" w:rsidRPr="004844F8">
              <w:rPr>
                <w:b/>
                <w:bCs/>
              </w:rPr>
              <w:t>contract</w:t>
            </w:r>
            <w:r w:rsidR="00CD0ACD">
              <w:t xml:space="preserve"> – </w:t>
            </w:r>
            <w:r w:rsidR="00E60903">
              <w:t>E</w:t>
            </w:r>
            <w:r w:rsidR="00CD0ACD">
              <w:t>xact path, diagnostic is taken in math and reading</w:t>
            </w:r>
            <w:r w:rsidR="00D82E7A">
              <w:t xml:space="preserve"> to assess where students are.</w:t>
            </w:r>
            <w:r w:rsidR="00E60903">
              <w:t xml:space="preserve"> </w:t>
            </w:r>
            <w:r w:rsidR="00E60903" w:rsidRPr="004059E6">
              <w:rPr>
                <w:b/>
                <w:bCs/>
              </w:rPr>
              <w:t>The finance committee motioned to extend the Edmentum contracts,</w:t>
            </w:r>
            <w:r w:rsidR="004059E6" w:rsidRPr="004059E6">
              <w:rPr>
                <w:b/>
                <w:bCs/>
              </w:rPr>
              <w:t xml:space="preserve"> Herbert Drayton seconded the motion. The motion was passed unanimously with no discussion.</w:t>
            </w:r>
          </w:p>
          <w:p w14:paraId="01C72142" w14:textId="75983887" w:rsidR="004059E6" w:rsidRPr="001A486B" w:rsidRDefault="004844F8" w:rsidP="008279DE">
            <w:pPr>
              <w:pStyle w:val="TableParagraph"/>
              <w:numPr>
                <w:ilvl w:val="0"/>
                <w:numId w:val="1"/>
              </w:numPr>
              <w:spacing w:before="120" w:after="120"/>
              <w:ind w:right="106"/>
              <w:jc w:val="both"/>
            </w:pPr>
            <w:r w:rsidRPr="004844F8">
              <w:rPr>
                <w:b/>
                <w:bCs/>
              </w:rPr>
              <w:t>Capitalized</w:t>
            </w:r>
            <w:r w:rsidR="00DD32B9" w:rsidRPr="004844F8">
              <w:rPr>
                <w:b/>
                <w:bCs/>
              </w:rPr>
              <w:t xml:space="preserve"> Assets</w:t>
            </w:r>
            <w:r w:rsidR="004E6113" w:rsidRPr="004844F8">
              <w:rPr>
                <w:b/>
                <w:bCs/>
              </w:rPr>
              <w:t>-</w:t>
            </w:r>
            <w:r w:rsidR="004E6113">
              <w:t xml:space="preserve"> </w:t>
            </w:r>
            <w:r w:rsidR="00D8762B">
              <w:t>Anything</w:t>
            </w:r>
            <w:r w:rsidR="00DD32B9">
              <w:t xml:space="preserve"> $1500 and under assets would be </w:t>
            </w:r>
            <w:r>
              <w:t>capitalized</w:t>
            </w:r>
            <w:r w:rsidR="00DD32B9">
              <w:t xml:space="preserve">, everything above would be itemized. </w:t>
            </w:r>
            <w:proofErr w:type="spellStart"/>
            <w:r w:rsidR="00DD32B9">
              <w:t>Veris</w:t>
            </w:r>
            <w:proofErr w:type="spellEnd"/>
            <w:r w:rsidR="00DD32B9">
              <w:t xml:space="preserve"> is recommending that we switch</w:t>
            </w:r>
            <w:r>
              <w:t xml:space="preserve"> to $5000 for capitalized asse</w:t>
            </w:r>
            <w:r w:rsidR="00D8762B">
              <w:t>ts.</w:t>
            </w:r>
            <w:r w:rsidR="00737AD4">
              <w:t xml:space="preserve"> This would be effective July 2024.</w:t>
            </w:r>
            <w:r w:rsidR="004059E6">
              <w:t xml:space="preserve"> </w:t>
            </w:r>
            <w:r w:rsidR="001F097B" w:rsidRPr="004059E6">
              <w:rPr>
                <w:b/>
                <w:bCs/>
              </w:rPr>
              <w:t>The finance</w:t>
            </w:r>
            <w:r w:rsidR="00D8762B" w:rsidRPr="004059E6">
              <w:rPr>
                <w:b/>
                <w:bCs/>
              </w:rPr>
              <w:t xml:space="preserve"> committee recommended it to </w:t>
            </w:r>
            <w:r w:rsidR="00737AD4" w:rsidRPr="004059E6">
              <w:rPr>
                <w:b/>
                <w:bCs/>
              </w:rPr>
              <w:t xml:space="preserve">go with </w:t>
            </w:r>
            <w:proofErr w:type="spellStart"/>
            <w:r w:rsidR="00737AD4" w:rsidRPr="004059E6">
              <w:rPr>
                <w:b/>
                <w:bCs/>
              </w:rPr>
              <w:t>Veris</w:t>
            </w:r>
            <w:proofErr w:type="spellEnd"/>
            <w:r w:rsidR="00737AD4" w:rsidRPr="004059E6">
              <w:rPr>
                <w:b/>
                <w:bCs/>
              </w:rPr>
              <w:t xml:space="preserve">’ recommendations, Lee Deas seconded the motion. </w:t>
            </w:r>
            <w:r w:rsidR="004059E6" w:rsidRPr="004059E6">
              <w:rPr>
                <w:b/>
                <w:bCs/>
              </w:rPr>
              <w:t>The motion</w:t>
            </w:r>
            <w:r w:rsidR="00737AD4" w:rsidRPr="004059E6">
              <w:rPr>
                <w:b/>
                <w:bCs/>
              </w:rPr>
              <w:t xml:space="preserve"> was passed unanimously with no discussion.</w:t>
            </w:r>
          </w:p>
        </w:tc>
      </w:tr>
      <w:tr w:rsidR="00CD7C4F" w:rsidDel="00A953FE" w14:paraId="4C5F871F" w14:textId="77777777" w:rsidTr="00CD2CA2">
        <w:trPr>
          <w:trHeight w:val="288"/>
        </w:trPr>
        <w:tc>
          <w:tcPr>
            <w:tcW w:w="2610" w:type="dxa"/>
            <w:shd w:val="clear" w:color="auto" w:fill="D9D9D9" w:themeFill="background1" w:themeFillShade="D9"/>
            <w:hideMark/>
          </w:tcPr>
          <w:p w14:paraId="5447D9C1" w14:textId="77777777" w:rsidR="00CD7C4F" w:rsidRDefault="00CD7C4F" w:rsidP="00CD2CA2">
            <w:pPr>
              <w:pStyle w:val="TableParagraph"/>
              <w:spacing w:before="120" w:after="120"/>
              <w:ind w:left="107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MOTION TO APPROVE</w:t>
            </w:r>
          </w:p>
        </w:tc>
        <w:tc>
          <w:tcPr>
            <w:tcW w:w="7830" w:type="dxa"/>
            <w:shd w:val="clear" w:color="auto" w:fill="D9D9D9" w:themeFill="background1" w:themeFillShade="D9"/>
            <w:hideMark/>
          </w:tcPr>
          <w:p w14:paraId="027B5D1F" w14:textId="6BBD8A54" w:rsidR="00CD7C4F" w:rsidRDefault="001F097B" w:rsidP="00CD2CA2">
            <w:pPr>
              <w:pStyle w:val="TableParagraph"/>
              <w:spacing w:before="120" w:after="120"/>
              <w:ind w:right="101"/>
              <w:jc w:val="both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L. Deas</w:t>
            </w:r>
            <w:r w:rsidR="007B214D">
              <w:rPr>
                <w:b/>
                <w:bCs/>
                <w:kern w:val="2"/>
                <w14:ligatures w14:val="standardContextual"/>
              </w:rPr>
              <w:t xml:space="preserve"> moved to approve the employee lease agreement as is. </w:t>
            </w:r>
            <w:proofErr w:type="spellStart"/>
            <w:r w:rsidR="007B214D">
              <w:rPr>
                <w:b/>
                <w:bCs/>
                <w:kern w:val="2"/>
                <w14:ligatures w14:val="standardContextual"/>
              </w:rPr>
              <w:t>Lica</w:t>
            </w:r>
            <w:proofErr w:type="spellEnd"/>
            <w:r w:rsidR="007B214D">
              <w:rPr>
                <w:b/>
                <w:bCs/>
                <w:kern w:val="2"/>
                <w14:ligatures w14:val="standardContextual"/>
              </w:rPr>
              <w:t xml:space="preserve"> Cowell seconded the motion. The motion was passed with one abstaining fro</w:t>
            </w:r>
            <w:r w:rsidR="00110C2A">
              <w:rPr>
                <w:b/>
                <w:bCs/>
                <w:kern w:val="2"/>
                <w14:ligatures w14:val="standardContextual"/>
              </w:rPr>
              <w:t xml:space="preserve">m </w:t>
            </w:r>
            <w:r w:rsidR="007B214D">
              <w:rPr>
                <w:b/>
                <w:bCs/>
                <w:kern w:val="2"/>
                <w14:ligatures w14:val="standardContextual"/>
              </w:rPr>
              <w:t>voting</w:t>
            </w:r>
            <w:r w:rsidR="00110C2A">
              <w:rPr>
                <w:b/>
                <w:bCs/>
                <w:kern w:val="2"/>
                <w14:ligatures w14:val="standardContextual"/>
              </w:rPr>
              <w:t>, Herbert Dray</w:t>
            </w:r>
            <w:r w:rsidR="008279DE">
              <w:rPr>
                <w:b/>
                <w:bCs/>
                <w:kern w:val="2"/>
                <w14:ligatures w14:val="standardContextual"/>
              </w:rPr>
              <w:t>t</w:t>
            </w:r>
            <w:r w:rsidR="00110C2A">
              <w:rPr>
                <w:b/>
                <w:bCs/>
                <w:kern w:val="2"/>
                <w14:ligatures w14:val="standardContextual"/>
              </w:rPr>
              <w:t>on</w:t>
            </w:r>
            <w:r w:rsidR="007B214D">
              <w:rPr>
                <w:b/>
                <w:bCs/>
                <w:kern w:val="2"/>
                <w14:ligatures w14:val="standardContextual"/>
              </w:rPr>
              <w:t>.</w:t>
            </w:r>
          </w:p>
          <w:p w14:paraId="6379A298" w14:textId="13C1C60C" w:rsidR="00DD32B9" w:rsidRPr="00DD32B9" w:rsidDel="00A953FE" w:rsidRDefault="00DD32B9" w:rsidP="00CD2CA2">
            <w:pPr>
              <w:pStyle w:val="TableParagraph"/>
              <w:spacing w:before="120" w:after="120"/>
              <w:ind w:right="101"/>
              <w:jc w:val="both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CD7C4F" w:rsidRPr="00643DE3" w14:paraId="381AA742" w14:textId="77777777" w:rsidTr="00CD2CA2">
        <w:trPr>
          <w:trHeight w:val="288"/>
        </w:trPr>
        <w:tc>
          <w:tcPr>
            <w:tcW w:w="2610" w:type="dxa"/>
            <w:shd w:val="clear" w:color="auto" w:fill="auto"/>
          </w:tcPr>
          <w:p w14:paraId="07CF8B4E" w14:textId="77777777" w:rsidR="00CD7C4F" w:rsidRDefault="00CD7C4F" w:rsidP="00CD2CA2">
            <w:pPr>
              <w:pStyle w:val="TableParagraph"/>
              <w:spacing w:before="120" w:after="120"/>
              <w:ind w:left="107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GOVERNANCE COMMITTEE REPORT</w:t>
            </w:r>
          </w:p>
        </w:tc>
        <w:tc>
          <w:tcPr>
            <w:tcW w:w="7830" w:type="dxa"/>
            <w:shd w:val="clear" w:color="auto" w:fill="auto"/>
          </w:tcPr>
          <w:p w14:paraId="76241C55" w14:textId="117F2B5B" w:rsidR="00CD7C4F" w:rsidRPr="00DF25E7" w:rsidRDefault="00DF25E7" w:rsidP="00CD7C4F">
            <w:pPr>
              <w:pStyle w:val="TableParagraph"/>
              <w:numPr>
                <w:ilvl w:val="0"/>
                <w:numId w:val="3"/>
              </w:numPr>
              <w:spacing w:before="120" w:after="120"/>
              <w:ind w:right="101"/>
              <w:jc w:val="both"/>
            </w:pPr>
            <w:r>
              <w:rPr>
                <w:b/>
                <w:kern w:val="2"/>
                <w14:ligatures w14:val="standardContextual"/>
              </w:rPr>
              <w:t xml:space="preserve">A. Mims </w:t>
            </w:r>
            <w:r>
              <w:rPr>
                <w:bCs/>
                <w:kern w:val="2"/>
                <w14:ligatures w14:val="standardContextual"/>
              </w:rPr>
              <w:t>gave an update on the governance committee:</w:t>
            </w:r>
          </w:p>
          <w:p w14:paraId="1677EB00" w14:textId="79F88917" w:rsidR="00DF25E7" w:rsidRDefault="00D50DA0" w:rsidP="00DF25E7">
            <w:pPr>
              <w:pStyle w:val="TableParagraph"/>
              <w:numPr>
                <w:ilvl w:val="1"/>
                <w:numId w:val="3"/>
              </w:numPr>
              <w:spacing w:before="120" w:after="120"/>
              <w:ind w:right="101"/>
              <w:jc w:val="both"/>
            </w:pPr>
            <w:r>
              <w:t>The governance committee recommended</w:t>
            </w:r>
            <w:r w:rsidR="00DF25E7">
              <w:t xml:space="preserve"> Adding </w:t>
            </w:r>
            <w:r w:rsidR="00DF25E7" w:rsidRPr="008F7B37">
              <w:rPr>
                <w:b/>
                <w:bCs/>
              </w:rPr>
              <w:t>Courtney Waters</w:t>
            </w:r>
            <w:r w:rsidR="00DF25E7">
              <w:t xml:space="preserve"> to our board of directors on November 6,2024</w:t>
            </w:r>
            <w:r w:rsidR="00580AFE">
              <w:t xml:space="preserve"> to avoid cross over from </w:t>
            </w:r>
            <w:r w:rsidR="00580AFE">
              <w:lastRenderedPageBreak/>
              <w:t>current board</w:t>
            </w:r>
            <w:r w:rsidR="00107C9E">
              <w:t xml:space="preserve"> that she serves on</w:t>
            </w:r>
            <w:r w:rsidR="004D0B72">
              <w:t xml:space="preserve"> </w:t>
            </w:r>
            <w:r w:rsidR="001E1F13">
              <w:t>– Governance</w:t>
            </w:r>
            <w:r>
              <w:t xml:space="preserve"> </w:t>
            </w:r>
            <w:r w:rsidR="001E1F13">
              <w:t>committee is recommending a motion be made</w:t>
            </w:r>
          </w:p>
          <w:p w14:paraId="6DB190DD" w14:textId="19ADFF9A" w:rsidR="00DF25E7" w:rsidRDefault="001E1F13" w:rsidP="00DF25E7">
            <w:pPr>
              <w:pStyle w:val="TableParagraph"/>
              <w:numPr>
                <w:ilvl w:val="1"/>
                <w:numId w:val="3"/>
              </w:numPr>
              <w:spacing w:before="120" w:after="120"/>
              <w:ind w:right="101"/>
              <w:jc w:val="both"/>
            </w:pPr>
            <w:r w:rsidRPr="00E808EA">
              <w:rPr>
                <w:b/>
                <w:bCs/>
              </w:rPr>
              <w:t>Herbert Drayton</w:t>
            </w:r>
            <w:r>
              <w:t xml:space="preserve"> Moved to add Courtney Waters to our board of directors, </w:t>
            </w:r>
            <w:proofErr w:type="spellStart"/>
            <w:r>
              <w:t>Lica</w:t>
            </w:r>
            <w:proofErr w:type="spellEnd"/>
            <w:r>
              <w:t xml:space="preserve"> Cowell seconded the motion. </w:t>
            </w:r>
            <w:r w:rsidR="00E808EA">
              <w:t>The motion</w:t>
            </w:r>
            <w:r>
              <w:t xml:space="preserve"> was passed una</w:t>
            </w:r>
            <w:r w:rsidR="00E808EA">
              <w:t>nimously.</w:t>
            </w:r>
          </w:p>
          <w:p w14:paraId="5F25BED6" w14:textId="54478C75" w:rsidR="00E808EA" w:rsidRDefault="00E808EA" w:rsidP="00DF25E7">
            <w:pPr>
              <w:pStyle w:val="TableParagraph"/>
              <w:numPr>
                <w:ilvl w:val="1"/>
                <w:numId w:val="3"/>
              </w:numPr>
              <w:spacing w:before="120" w:after="120"/>
              <w:ind w:right="101"/>
              <w:jc w:val="both"/>
            </w:pPr>
            <w:r w:rsidRPr="00D50DA0">
              <w:rPr>
                <w:b/>
                <w:bCs/>
              </w:rPr>
              <w:t>Evaluation Updates:</w:t>
            </w:r>
            <w:r>
              <w:t xml:space="preserve"> Goodwill eval system vs SC </w:t>
            </w:r>
            <w:r w:rsidR="00D50DA0">
              <w:t>Principal</w:t>
            </w:r>
            <w:r>
              <w:t xml:space="preserve"> evaluation system</w:t>
            </w:r>
            <w:r w:rsidR="008F7B37">
              <w:t xml:space="preserve"> (</w:t>
            </w:r>
            <w:r>
              <w:t>ADEPT</w:t>
            </w:r>
            <w:r w:rsidR="008F7B37">
              <w:t>)</w:t>
            </w:r>
            <w:r>
              <w:t xml:space="preserve">. Moving 2 evaluations into one – moving forward </w:t>
            </w:r>
            <w:r w:rsidR="008655A4">
              <w:t>Director’s</w:t>
            </w:r>
            <w:r>
              <w:t xml:space="preserve"> evaluation will be done by the senior director.</w:t>
            </w:r>
          </w:p>
          <w:p w14:paraId="7FFA1593" w14:textId="19864019" w:rsidR="008655A4" w:rsidRPr="00643DE3" w:rsidRDefault="008655A4" w:rsidP="00DF25E7">
            <w:pPr>
              <w:pStyle w:val="TableParagraph"/>
              <w:numPr>
                <w:ilvl w:val="1"/>
                <w:numId w:val="3"/>
              </w:numPr>
              <w:spacing w:before="120" w:after="120"/>
              <w:ind w:right="101"/>
              <w:jc w:val="both"/>
            </w:pPr>
            <w:r w:rsidRPr="00D50DA0">
              <w:rPr>
                <w:b/>
                <w:bCs/>
              </w:rPr>
              <w:t>Succession Planning:</w:t>
            </w:r>
            <w:r>
              <w:t xml:space="preserve"> Elliot Smalley will be transitioning from Charleston and away from Palmetto Excel</w:t>
            </w:r>
            <w:r w:rsidR="00D50DA0">
              <w:t xml:space="preserve"> -- the</w:t>
            </w:r>
            <w:r w:rsidR="006E36B0">
              <w:t xml:space="preserve"> governance committee is putting the plan </w:t>
            </w:r>
            <w:r w:rsidR="00D50DA0">
              <w:t>together</w:t>
            </w:r>
            <w:r w:rsidR="00651B62">
              <w:t xml:space="preserve"> for a senior director plan </w:t>
            </w:r>
            <w:r w:rsidR="008F7B37">
              <w:t>-- a</w:t>
            </w:r>
            <w:r w:rsidR="006E36B0">
              <w:t xml:space="preserve"> special called meeting will be needed between this</w:t>
            </w:r>
            <w:r w:rsidR="00D50DA0">
              <w:t xml:space="preserve"> </w:t>
            </w:r>
            <w:r w:rsidR="00651B62">
              <w:t>meeting and the November 1</w:t>
            </w:r>
            <w:r w:rsidR="00E602CB">
              <w:t>9,2024 meeting.</w:t>
            </w:r>
          </w:p>
        </w:tc>
      </w:tr>
      <w:tr w:rsidR="00CD7C4F" w:rsidRPr="00616BF1" w14:paraId="3010359A" w14:textId="77777777" w:rsidTr="00CD2CA2">
        <w:trPr>
          <w:trHeight w:val="288"/>
        </w:trPr>
        <w:tc>
          <w:tcPr>
            <w:tcW w:w="2610" w:type="dxa"/>
            <w:hideMark/>
          </w:tcPr>
          <w:p w14:paraId="718F5661" w14:textId="77777777" w:rsidR="00CD7C4F" w:rsidRDefault="00CD7C4F" w:rsidP="00DF25E7">
            <w:pPr>
              <w:pStyle w:val="TableParagraph"/>
              <w:spacing w:before="120" w:after="120"/>
              <w:rPr>
                <w:b/>
                <w:bCs/>
              </w:rPr>
            </w:pPr>
            <w:r w:rsidRPr="5463E19C">
              <w:rPr>
                <w:b/>
                <w:bCs/>
              </w:rPr>
              <w:lastRenderedPageBreak/>
              <w:t>DIRECTOR’S REPORT</w:t>
            </w:r>
          </w:p>
        </w:tc>
        <w:tc>
          <w:tcPr>
            <w:tcW w:w="7830" w:type="dxa"/>
          </w:tcPr>
          <w:p w14:paraId="7C2BD752" w14:textId="77777777" w:rsidR="00DB7704" w:rsidRPr="001F097B" w:rsidRDefault="00737AD4" w:rsidP="00CD2CA2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spacing w:before="120" w:after="120"/>
              <w:contextualSpacing w:val="0"/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</w:pPr>
            <w:r w:rsidRPr="001F097B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Elliot Smalley </w:t>
            </w:r>
            <w:r w:rsidR="00361883" w:rsidRPr="001F097B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–</w:t>
            </w:r>
            <w:r w:rsidRPr="001F097B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</w:p>
          <w:p w14:paraId="0B972A04" w14:textId="13118637" w:rsidR="00896CC5" w:rsidRPr="00722F4D" w:rsidRDefault="00C86962" w:rsidP="00722F4D">
            <w:pPr>
              <w:pStyle w:val="ListParagraph"/>
              <w:numPr>
                <w:ilvl w:val="1"/>
                <w:numId w:val="2"/>
              </w:numPr>
              <w:tabs>
                <w:tab w:val="left" w:pos="0"/>
                <w:tab w:val="left" w:pos="720"/>
              </w:tabs>
              <w:spacing w:before="120" w:after="120"/>
              <w:contextualSpacing w:val="0"/>
              <w:rPr>
                <w:rFonts w:eastAsia="Aptos"/>
                <w:color w:val="000000" w:themeColor="text1"/>
                <w:kern w:val="2"/>
                <w14:ligatures w14:val="standardContextual"/>
              </w:rPr>
            </w:pPr>
            <w:r w:rsidRPr="001F097B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District</w:t>
            </w:r>
            <w:r w:rsidR="00DB7704" w:rsidRPr="001F097B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 Concern</w:t>
            </w:r>
            <w:r w:rsidR="00896CC5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s</w:t>
            </w:r>
            <w:r w:rsidRPr="001F097B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:</w:t>
            </w:r>
            <w:r w:rsidR="00361883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</w:t>
            </w:r>
          </w:p>
          <w:p w14:paraId="7F10C499" w14:textId="60D1335E" w:rsidR="00D561CD" w:rsidRDefault="00361883" w:rsidP="00896CC5">
            <w:pPr>
              <w:pStyle w:val="ListParagraph"/>
              <w:tabs>
                <w:tab w:val="left" w:pos="0"/>
                <w:tab w:val="left" w:pos="720"/>
              </w:tabs>
              <w:spacing w:before="120" w:after="120"/>
              <w:ind w:left="1440"/>
              <w:contextualSpacing w:val="0"/>
              <w:rPr>
                <w:rFonts w:eastAsia="Aptos"/>
                <w:color w:val="000000" w:themeColor="text1"/>
                <w:kern w:val="2"/>
                <w14:ligatures w14:val="standardContextual"/>
              </w:rPr>
            </w:pPr>
            <w:r>
              <w:rPr>
                <w:rFonts w:eastAsia="Aptos"/>
                <w:color w:val="000000" w:themeColor="text1"/>
                <w:kern w:val="2"/>
                <w14:ligatures w14:val="standardContextual"/>
              </w:rPr>
              <w:t>A letter was sent from the SCPCSD</w:t>
            </w:r>
            <w:r w:rsidR="00CE7DCF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with concerns about Palmetto Excel. PEC has met with the district</w:t>
            </w:r>
            <w:r w:rsidR="00C86962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8/16/24 with board members and Excel national team present.</w:t>
            </w:r>
            <w:r w:rsidR="00EC4AF7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The SCPCSD provided clarity that our school is not closing – but collaborative work</w:t>
            </w:r>
            <w:r w:rsidR="00ED58C3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needs to be done to certify our 13 students’ diplomas.</w:t>
            </w:r>
            <w:r w:rsidR="00DB7704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A follow up call was done on 8/19/2024 with the district.</w:t>
            </w:r>
            <w:r w:rsidR="001F097B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</w:t>
            </w:r>
            <w:r w:rsidR="004059E6">
              <w:rPr>
                <w:rFonts w:eastAsia="Aptos"/>
                <w:color w:val="000000" w:themeColor="text1"/>
                <w:kern w:val="2"/>
                <w14:ligatures w14:val="standardContextual"/>
              </w:rPr>
              <w:t>Palmetto Excel CORE leadership team is</w:t>
            </w:r>
            <w:r w:rsidR="001C7FD7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working to send concerns by end of next week, prior to September 5</w:t>
            </w:r>
            <w:r w:rsidR="001C7FD7" w:rsidRPr="001C7FD7">
              <w:rPr>
                <w:rFonts w:eastAsia="Aptos"/>
                <w:color w:val="000000" w:themeColor="text1"/>
                <w:kern w:val="2"/>
                <w:vertAlign w:val="superscript"/>
                <w14:ligatures w14:val="standardContextual"/>
              </w:rPr>
              <w:t>th</w:t>
            </w:r>
            <w:r w:rsidR="001C7FD7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visit.</w:t>
            </w:r>
          </w:p>
          <w:p w14:paraId="5B5CA838" w14:textId="10B0866D" w:rsidR="00DB7704" w:rsidRPr="004059E6" w:rsidRDefault="001C7FD7" w:rsidP="004059E6">
            <w:pPr>
              <w:pStyle w:val="ListParagraph"/>
              <w:numPr>
                <w:ilvl w:val="1"/>
                <w:numId w:val="2"/>
              </w:numPr>
              <w:tabs>
                <w:tab w:val="left" w:pos="0"/>
                <w:tab w:val="left" w:pos="720"/>
              </w:tabs>
              <w:spacing w:before="120" w:after="120"/>
              <w:contextualSpacing w:val="0"/>
              <w:rPr>
                <w:rFonts w:eastAsia="Aptos"/>
                <w:color w:val="000000" w:themeColor="text1"/>
                <w:kern w:val="2"/>
                <w14:ligatures w14:val="standardContextual"/>
              </w:rPr>
            </w:pPr>
            <w:r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</w:t>
            </w:r>
            <w:r w:rsidR="00387CB2" w:rsidRPr="00387CB2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Proficiency</w:t>
            </w:r>
            <w:r w:rsidR="00722F4D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 based plan needs to be approved: </w:t>
            </w:r>
            <w:r w:rsidR="00387CB2" w:rsidRPr="00722F4D">
              <w:rPr>
                <w:rFonts w:eastAsia="Aptos"/>
                <w:color w:val="000000" w:themeColor="text1"/>
                <w:kern w:val="2"/>
                <w14:ligatures w14:val="standardContextual"/>
              </w:rPr>
              <w:t>60 Hour Seat Time</w:t>
            </w:r>
            <w:r w:rsidR="00722F4D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="00722F4D" w:rsidRPr="00722F4D">
              <w:rPr>
                <w:rFonts w:eastAsia="Aptos"/>
                <w:color w:val="000000" w:themeColor="text1"/>
                <w:kern w:val="2"/>
                <w14:ligatures w14:val="standardContextual"/>
              </w:rPr>
              <w:t>is required by district.</w:t>
            </w:r>
            <w:r w:rsidR="00722F4D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="00D561CD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If the district does not give the </w:t>
            </w:r>
            <w:r w:rsidR="00FD1F7E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approval </w:t>
            </w:r>
            <w:r w:rsidR="00D561CD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for </w:t>
            </w:r>
            <w:r w:rsidR="00722F4D">
              <w:rPr>
                <w:rFonts w:eastAsia="Aptos"/>
                <w:color w:val="000000" w:themeColor="text1"/>
                <w:kern w:val="2"/>
                <w14:ligatures w14:val="standardContextual"/>
              </w:rPr>
              <w:t>proficiency-based</w:t>
            </w:r>
            <w:r w:rsidR="00D561CD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learning Palmetto Excel will need to move to</w:t>
            </w:r>
            <w:r w:rsidR="00896CC5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</w:t>
            </w:r>
            <w:r w:rsidR="00722F4D">
              <w:rPr>
                <w:rFonts w:eastAsia="Aptos"/>
                <w:color w:val="000000" w:themeColor="text1"/>
                <w:kern w:val="2"/>
                <w14:ligatures w14:val="standardContextual"/>
              </w:rPr>
              <w:t>11-week</w:t>
            </w:r>
            <w:r w:rsidR="00896CC5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terms instead of </w:t>
            </w:r>
            <w:r w:rsidR="00C577B2">
              <w:rPr>
                <w:rFonts w:eastAsia="Aptos"/>
                <w:color w:val="000000" w:themeColor="text1"/>
                <w:kern w:val="2"/>
                <w14:ligatures w14:val="standardContextual"/>
              </w:rPr>
              <w:t>8-week</w:t>
            </w:r>
            <w:r w:rsidR="00896CC5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terms. </w:t>
            </w:r>
            <w:r w:rsidR="00FD1F7E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Palmetto Excel has informed the staff </w:t>
            </w:r>
            <w:r w:rsidR="00A12C20">
              <w:rPr>
                <w:rFonts w:eastAsia="Aptos"/>
                <w:color w:val="000000" w:themeColor="text1"/>
                <w:kern w:val="2"/>
                <w14:ligatures w14:val="standardContextual"/>
              </w:rPr>
              <w:t>of</w:t>
            </w:r>
            <w:r w:rsidR="00FD1F7E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an 11-week term plan.</w:t>
            </w:r>
          </w:p>
          <w:p w14:paraId="3A22A387" w14:textId="77777777" w:rsidR="001F097B" w:rsidRPr="001F097B" w:rsidRDefault="001F097B" w:rsidP="001F097B">
            <w:pPr>
              <w:tabs>
                <w:tab w:val="left" w:pos="0"/>
                <w:tab w:val="left" w:pos="720"/>
              </w:tabs>
              <w:spacing w:before="120" w:after="120"/>
              <w:rPr>
                <w:rFonts w:eastAsia="Aptos"/>
                <w:color w:val="000000" w:themeColor="text1"/>
                <w:kern w:val="2"/>
                <w14:ligatures w14:val="standardContextual"/>
              </w:rPr>
            </w:pPr>
          </w:p>
          <w:p w14:paraId="5EC82D99" w14:textId="08A93FCB" w:rsidR="00361883" w:rsidRPr="009120E8" w:rsidRDefault="00361883" w:rsidP="00CD2CA2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spacing w:before="120" w:after="120"/>
              <w:contextualSpacing w:val="0"/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</w:pPr>
            <w:r w:rsidRPr="009120E8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Dr. Ruth Chambers Turner </w:t>
            </w:r>
            <w:r w:rsidR="00FB126B" w:rsidRPr="009120E8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–</w:t>
            </w:r>
            <w:r w:rsidRPr="009120E8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</w:p>
          <w:p w14:paraId="0EF51927" w14:textId="6E68A4A9" w:rsidR="00FB126B" w:rsidRDefault="002E0B7A" w:rsidP="00FB126B">
            <w:pPr>
              <w:pStyle w:val="ListParagraph"/>
              <w:numPr>
                <w:ilvl w:val="1"/>
                <w:numId w:val="2"/>
              </w:numPr>
              <w:tabs>
                <w:tab w:val="left" w:pos="0"/>
                <w:tab w:val="left" w:pos="720"/>
              </w:tabs>
              <w:spacing w:before="120" w:after="120"/>
              <w:contextualSpacing w:val="0"/>
              <w:rPr>
                <w:rFonts w:eastAsia="Aptos"/>
                <w:color w:val="000000" w:themeColor="text1"/>
                <w:kern w:val="2"/>
                <w14:ligatures w14:val="standardContextual"/>
              </w:rPr>
            </w:pPr>
            <w:r w:rsidRPr="009120E8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End of Year Charter Goals</w:t>
            </w:r>
            <w:r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 </w:t>
            </w:r>
          </w:p>
          <w:p w14:paraId="4BF6DD8C" w14:textId="6854D933" w:rsidR="002E0B7A" w:rsidRDefault="0094022B" w:rsidP="00FB126B">
            <w:pPr>
              <w:pStyle w:val="ListParagraph"/>
              <w:numPr>
                <w:ilvl w:val="1"/>
                <w:numId w:val="2"/>
              </w:numPr>
              <w:tabs>
                <w:tab w:val="left" w:pos="0"/>
                <w:tab w:val="left" w:pos="720"/>
              </w:tabs>
              <w:spacing w:before="120" w:after="120"/>
              <w:contextualSpacing w:val="0"/>
              <w:rPr>
                <w:rFonts w:eastAsia="Aptos"/>
                <w:color w:val="000000" w:themeColor="text1"/>
                <w:kern w:val="2"/>
                <w14:ligatures w14:val="standardContextual"/>
              </w:rPr>
            </w:pPr>
            <w:r w:rsidRPr="009120E8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1</w:t>
            </w:r>
            <w:r w:rsidRPr="009120E8">
              <w:rPr>
                <w:rFonts w:eastAsia="Aptos"/>
                <w:b/>
                <w:bCs/>
                <w:color w:val="000000" w:themeColor="text1"/>
                <w:kern w:val="2"/>
                <w:vertAlign w:val="superscript"/>
                <w14:ligatures w14:val="standardContextual"/>
              </w:rPr>
              <w:t>st</w:t>
            </w:r>
            <w:r w:rsidRPr="009120E8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 goal</w:t>
            </w:r>
            <w:r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– 25% of students graduate per year. 15/50 </w:t>
            </w:r>
            <w:r w:rsidR="000F0B76">
              <w:rPr>
                <w:rFonts w:eastAsia="Aptos"/>
                <w:color w:val="000000" w:themeColor="text1"/>
                <w:kern w:val="2"/>
                <w14:ligatures w14:val="standardContextual"/>
              </w:rPr>
              <w:t>= 10% graduation rate.</w:t>
            </w:r>
          </w:p>
          <w:p w14:paraId="7801CA88" w14:textId="00A69A82" w:rsidR="000F0B76" w:rsidRDefault="000F0B76" w:rsidP="00FB126B">
            <w:pPr>
              <w:pStyle w:val="ListParagraph"/>
              <w:numPr>
                <w:ilvl w:val="1"/>
                <w:numId w:val="2"/>
              </w:numPr>
              <w:tabs>
                <w:tab w:val="left" w:pos="0"/>
                <w:tab w:val="left" w:pos="720"/>
              </w:tabs>
              <w:spacing w:before="120" w:after="120"/>
              <w:contextualSpacing w:val="0"/>
              <w:rPr>
                <w:rFonts w:eastAsia="Aptos"/>
                <w:color w:val="000000" w:themeColor="text1"/>
                <w:kern w:val="2"/>
                <w14:ligatures w14:val="standardContextual"/>
              </w:rPr>
            </w:pPr>
            <w:r w:rsidRPr="00704C6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2</w:t>
            </w:r>
            <w:r w:rsidRPr="00704C69">
              <w:rPr>
                <w:rFonts w:eastAsia="Aptos"/>
                <w:b/>
                <w:bCs/>
                <w:color w:val="000000" w:themeColor="text1"/>
                <w:kern w:val="2"/>
                <w:vertAlign w:val="superscript"/>
                <w14:ligatures w14:val="standardContextual"/>
              </w:rPr>
              <w:t>nd</w:t>
            </w:r>
            <w:r w:rsidRPr="00704C6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 goal</w:t>
            </w:r>
            <w:r w:rsidR="00A230D4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Credit Attainment</w:t>
            </w:r>
            <w:r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</w:t>
            </w:r>
            <w:r w:rsidR="005E62F7">
              <w:rPr>
                <w:rFonts w:eastAsia="Aptos"/>
                <w:color w:val="000000" w:themeColor="text1"/>
                <w:kern w:val="2"/>
                <w14:ligatures w14:val="standardContextual"/>
              </w:rPr>
              <w:t>–</w:t>
            </w:r>
            <w:r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</w:t>
            </w:r>
            <w:r w:rsidR="001C3510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Term 3 – Term 5, </w:t>
            </w:r>
            <w:r w:rsidR="005E62F7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88% of students </w:t>
            </w:r>
            <w:r w:rsidR="002D2326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received at least </w:t>
            </w:r>
            <w:r w:rsidR="00A230D4">
              <w:rPr>
                <w:rFonts w:eastAsia="Aptos"/>
                <w:color w:val="000000" w:themeColor="text1"/>
                <w:kern w:val="2"/>
                <w14:ligatures w14:val="standardContextual"/>
              </w:rPr>
              <w:t>one credit.</w:t>
            </w:r>
          </w:p>
          <w:p w14:paraId="0B31CEC5" w14:textId="04B54443" w:rsidR="00A230D4" w:rsidRDefault="00A230D4" w:rsidP="00FB126B">
            <w:pPr>
              <w:pStyle w:val="ListParagraph"/>
              <w:numPr>
                <w:ilvl w:val="1"/>
                <w:numId w:val="2"/>
              </w:numPr>
              <w:tabs>
                <w:tab w:val="left" w:pos="0"/>
                <w:tab w:val="left" w:pos="720"/>
              </w:tabs>
              <w:spacing w:before="120" w:after="120"/>
              <w:contextualSpacing w:val="0"/>
              <w:rPr>
                <w:rFonts w:eastAsia="Aptos"/>
                <w:color w:val="000000" w:themeColor="text1"/>
                <w:kern w:val="2"/>
                <w14:ligatures w14:val="standardContextual"/>
              </w:rPr>
            </w:pPr>
            <w:r w:rsidRPr="00704C6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Retention</w:t>
            </w:r>
            <w:r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– Term 3 – Term 5 86%</w:t>
            </w:r>
          </w:p>
          <w:p w14:paraId="12E0DDAA" w14:textId="567DB11D" w:rsidR="00A230D4" w:rsidRDefault="00A230D4" w:rsidP="00FB126B">
            <w:pPr>
              <w:pStyle w:val="ListParagraph"/>
              <w:numPr>
                <w:ilvl w:val="1"/>
                <w:numId w:val="2"/>
              </w:numPr>
              <w:tabs>
                <w:tab w:val="left" w:pos="0"/>
                <w:tab w:val="left" w:pos="720"/>
              </w:tabs>
              <w:spacing w:before="120" w:after="120"/>
              <w:contextualSpacing w:val="0"/>
              <w:rPr>
                <w:rFonts w:eastAsia="Aptos"/>
                <w:color w:val="000000" w:themeColor="text1"/>
                <w:kern w:val="2"/>
                <w14:ligatures w14:val="standardContextual"/>
              </w:rPr>
            </w:pPr>
            <w:r w:rsidRPr="00704C6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3</w:t>
            </w:r>
            <w:r w:rsidRPr="00704C69">
              <w:rPr>
                <w:rFonts w:eastAsia="Aptos"/>
                <w:b/>
                <w:bCs/>
                <w:color w:val="000000" w:themeColor="text1"/>
                <w:kern w:val="2"/>
                <w:vertAlign w:val="superscript"/>
                <w14:ligatures w14:val="standardContextual"/>
              </w:rPr>
              <w:t>rd</w:t>
            </w:r>
            <w:r w:rsidRPr="00704C6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 goal</w:t>
            </w:r>
            <w:r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– EOC </w:t>
            </w:r>
            <w:r w:rsidR="00DD77B3">
              <w:rPr>
                <w:rFonts w:eastAsia="Aptos"/>
                <w:color w:val="000000" w:themeColor="text1"/>
                <w:kern w:val="2"/>
                <w14:ligatures w14:val="standardContextual"/>
              </w:rPr>
              <w:t>scores:</w:t>
            </w:r>
            <w:r w:rsidR="00375BE2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25% pass rate</w:t>
            </w:r>
          </w:p>
          <w:p w14:paraId="53E681C9" w14:textId="7C18C7F8" w:rsidR="00A86DC2" w:rsidRDefault="00A86DC2" w:rsidP="00FB126B">
            <w:pPr>
              <w:pStyle w:val="ListParagraph"/>
              <w:numPr>
                <w:ilvl w:val="1"/>
                <w:numId w:val="2"/>
              </w:numPr>
              <w:tabs>
                <w:tab w:val="left" w:pos="0"/>
                <w:tab w:val="left" w:pos="720"/>
              </w:tabs>
              <w:spacing w:before="120" w:after="120"/>
              <w:contextualSpacing w:val="0"/>
              <w:rPr>
                <w:rFonts w:eastAsia="Aptos"/>
                <w:color w:val="000000" w:themeColor="text1"/>
                <w:kern w:val="2"/>
                <w14:ligatures w14:val="standardContextual"/>
              </w:rPr>
            </w:pPr>
            <w:r w:rsidRPr="00704C6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4</w:t>
            </w:r>
            <w:r w:rsidRPr="00704C69">
              <w:rPr>
                <w:rFonts w:eastAsia="Aptos"/>
                <w:b/>
                <w:bCs/>
                <w:color w:val="000000" w:themeColor="text1"/>
                <w:kern w:val="2"/>
                <w:vertAlign w:val="superscript"/>
                <w14:ligatures w14:val="standardContextual"/>
              </w:rPr>
              <w:t>th</w:t>
            </w:r>
            <w:r w:rsidRPr="00704C6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 goal</w:t>
            </w:r>
            <w:r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– Certifications – T</w:t>
            </w:r>
            <w:r w:rsidR="000B211D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erm </w:t>
            </w:r>
            <w:r>
              <w:rPr>
                <w:rFonts w:eastAsia="Aptos"/>
                <w:color w:val="000000" w:themeColor="text1"/>
                <w:kern w:val="2"/>
                <w14:ligatures w14:val="standardContextual"/>
              </w:rPr>
              <w:t>1-T</w:t>
            </w:r>
            <w:r w:rsidR="000B211D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erm </w:t>
            </w:r>
            <w:r>
              <w:rPr>
                <w:rFonts w:eastAsia="Aptos"/>
                <w:color w:val="000000" w:themeColor="text1"/>
                <w:kern w:val="2"/>
                <w14:ligatures w14:val="standardContextual"/>
              </w:rPr>
              <w:t>4 100% graduates hav</w:t>
            </w:r>
            <w:r w:rsidR="00DD77B3">
              <w:rPr>
                <w:rFonts w:eastAsia="Aptos"/>
                <w:color w:val="000000" w:themeColor="text1"/>
                <w:kern w:val="2"/>
                <w14:ligatures w14:val="standardContextual"/>
              </w:rPr>
              <w:t>e certifications.</w:t>
            </w:r>
          </w:p>
          <w:p w14:paraId="15341267" w14:textId="6C8D799D" w:rsidR="00DD77B3" w:rsidRDefault="00DD77B3" w:rsidP="00FB126B">
            <w:pPr>
              <w:pStyle w:val="ListParagraph"/>
              <w:numPr>
                <w:ilvl w:val="1"/>
                <w:numId w:val="2"/>
              </w:numPr>
              <w:tabs>
                <w:tab w:val="left" w:pos="0"/>
                <w:tab w:val="left" w:pos="720"/>
              </w:tabs>
              <w:spacing w:before="120" w:after="120"/>
              <w:contextualSpacing w:val="0"/>
              <w:rPr>
                <w:rFonts w:eastAsia="Aptos"/>
                <w:color w:val="000000" w:themeColor="text1"/>
                <w:kern w:val="2"/>
                <w14:ligatures w14:val="standardContextual"/>
              </w:rPr>
            </w:pPr>
            <w:r w:rsidRPr="00704C6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lastRenderedPageBreak/>
              <w:t>5</w:t>
            </w:r>
            <w:r w:rsidRPr="00704C69">
              <w:rPr>
                <w:rFonts w:eastAsia="Aptos"/>
                <w:b/>
                <w:bCs/>
                <w:color w:val="000000" w:themeColor="text1"/>
                <w:kern w:val="2"/>
                <w:vertAlign w:val="superscript"/>
                <w14:ligatures w14:val="standardContextual"/>
              </w:rPr>
              <w:t>th</w:t>
            </w:r>
            <w:r w:rsidRPr="00704C6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 goal</w:t>
            </w:r>
            <w:r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– Finance Audit</w:t>
            </w:r>
          </w:p>
          <w:p w14:paraId="40AD7CD9" w14:textId="784AAC61" w:rsidR="00DD77B3" w:rsidRDefault="00DD77B3" w:rsidP="00FB126B">
            <w:pPr>
              <w:pStyle w:val="ListParagraph"/>
              <w:numPr>
                <w:ilvl w:val="1"/>
                <w:numId w:val="2"/>
              </w:numPr>
              <w:tabs>
                <w:tab w:val="left" w:pos="0"/>
                <w:tab w:val="left" w:pos="720"/>
              </w:tabs>
              <w:spacing w:before="120" w:after="120"/>
              <w:contextualSpacing w:val="0"/>
              <w:rPr>
                <w:rFonts w:eastAsia="Aptos"/>
                <w:color w:val="000000" w:themeColor="text1"/>
                <w:kern w:val="2"/>
                <w14:ligatures w14:val="standardContextual"/>
              </w:rPr>
            </w:pPr>
            <w:r w:rsidRPr="00704C6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Enrollment Update for school </w:t>
            </w:r>
            <w:r w:rsidR="00704C69" w:rsidRPr="00704C6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year</w:t>
            </w:r>
            <w:r w:rsidR="00704C69">
              <w:rPr>
                <w:rFonts w:eastAsia="Aptos"/>
                <w:color w:val="000000" w:themeColor="text1"/>
                <w:kern w:val="2"/>
                <w14:ligatures w14:val="standardContextual"/>
              </w:rPr>
              <w:t>:</w:t>
            </w:r>
            <w:r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Goal is 150 students and currently enrolled with 163.</w:t>
            </w:r>
          </w:p>
          <w:p w14:paraId="2C7C1A78" w14:textId="3B3EAC66" w:rsidR="00361883" w:rsidRPr="00616BF1" w:rsidRDefault="00361883" w:rsidP="00CD2CA2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spacing w:before="120" w:after="120"/>
              <w:contextualSpacing w:val="0"/>
              <w:rPr>
                <w:rFonts w:eastAsia="Aptos"/>
                <w:color w:val="000000" w:themeColor="text1"/>
                <w:kern w:val="2"/>
                <w14:ligatures w14:val="standardContextual"/>
              </w:rPr>
            </w:pPr>
            <w:r w:rsidRPr="00704C6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Dr. Jeremy Easley</w:t>
            </w:r>
            <w:r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</w:t>
            </w:r>
            <w:r w:rsidR="007F3A08">
              <w:rPr>
                <w:rFonts w:eastAsia="Aptos"/>
                <w:color w:val="000000" w:themeColor="text1"/>
                <w:kern w:val="2"/>
                <w14:ligatures w14:val="standardContextual"/>
              </w:rPr>
              <w:t>–</w:t>
            </w:r>
            <w:r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</w:t>
            </w:r>
            <w:r w:rsidR="007F3A08">
              <w:rPr>
                <w:rFonts w:eastAsia="Aptos"/>
                <w:color w:val="000000" w:themeColor="text1"/>
                <w:kern w:val="2"/>
                <w14:ligatures w14:val="standardContextual"/>
              </w:rPr>
              <w:t>Working with Palmetto Excel</w:t>
            </w:r>
            <w:r w:rsidR="00855D2C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in a consultant </w:t>
            </w:r>
            <w:r w:rsidR="0090115C">
              <w:rPr>
                <w:rFonts w:eastAsia="Aptos"/>
                <w:color w:val="000000" w:themeColor="text1"/>
                <w:kern w:val="2"/>
                <w14:ligatures w14:val="standardContextual"/>
              </w:rPr>
              <w:t>role until transitioning to planning for the school he will be the director of.</w:t>
            </w:r>
            <w:r w:rsidR="00855D2C"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</w:t>
            </w:r>
          </w:p>
        </w:tc>
      </w:tr>
      <w:tr w:rsidR="00CD7C4F" w14:paraId="42BDFD7D" w14:textId="77777777" w:rsidTr="00CD2CA2">
        <w:trPr>
          <w:trHeight w:val="126"/>
        </w:trPr>
        <w:tc>
          <w:tcPr>
            <w:tcW w:w="2610" w:type="dxa"/>
            <w:hideMark/>
          </w:tcPr>
          <w:p w14:paraId="78E534C7" w14:textId="77777777" w:rsidR="00CD7C4F" w:rsidRDefault="00CD7C4F" w:rsidP="00CD2CA2">
            <w:pPr>
              <w:pStyle w:val="TableParagraph"/>
              <w:spacing w:before="120" w:after="120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lastRenderedPageBreak/>
              <w:t>NEW BUSINESS</w:t>
            </w:r>
          </w:p>
        </w:tc>
        <w:tc>
          <w:tcPr>
            <w:tcW w:w="7830" w:type="dxa"/>
            <w:hideMark/>
          </w:tcPr>
          <w:p w14:paraId="0C269C59" w14:textId="3A58FA04" w:rsidR="00361883" w:rsidRDefault="00CD7C4F" w:rsidP="00361883">
            <w:pPr>
              <w:pStyle w:val="TableParagraph"/>
              <w:spacing w:before="120" w:after="120"/>
            </w:pPr>
            <w:r>
              <w:rPr>
                <w:bCs/>
                <w:kern w:val="2"/>
                <w14:ligatures w14:val="standardContextual"/>
              </w:rPr>
              <w:t xml:space="preserve"> </w:t>
            </w:r>
            <w:r w:rsidRPr="002721AA">
              <w:rPr>
                <w:b/>
                <w:kern w:val="2"/>
                <w14:ligatures w14:val="standardContextual"/>
              </w:rPr>
              <w:t>L. Deas</w:t>
            </w:r>
            <w:r>
              <w:rPr>
                <w:bCs/>
                <w:kern w:val="2"/>
                <w14:ligatures w14:val="standardContextual"/>
              </w:rPr>
              <w:t xml:space="preserve"> </w:t>
            </w:r>
          </w:p>
          <w:p w14:paraId="0ED16B8B" w14:textId="77777777" w:rsidR="00CD7C4F" w:rsidRDefault="002C7ECE" w:rsidP="00CD7C4F">
            <w:pPr>
              <w:pStyle w:val="TableParagraph"/>
              <w:numPr>
                <w:ilvl w:val="0"/>
                <w:numId w:val="4"/>
              </w:numPr>
              <w:spacing w:before="120" w:after="120"/>
            </w:pPr>
            <w:r>
              <w:t>Shifting the board conversations to philanthropic efforts.</w:t>
            </w:r>
          </w:p>
          <w:p w14:paraId="4048C518" w14:textId="791F9951" w:rsidR="002C7ECE" w:rsidRDefault="002C7ECE" w:rsidP="00CD7C4F">
            <w:pPr>
              <w:pStyle w:val="TableParagraph"/>
              <w:numPr>
                <w:ilvl w:val="0"/>
                <w:numId w:val="4"/>
              </w:numPr>
              <w:spacing w:before="120" w:after="120"/>
            </w:pPr>
            <w:r>
              <w:t>Interim board meeting</w:t>
            </w:r>
            <w:r w:rsidR="00DB1D66">
              <w:t xml:space="preserve"> will be called for succession plans.</w:t>
            </w:r>
          </w:p>
        </w:tc>
      </w:tr>
      <w:tr w:rsidR="00CD7C4F" w14:paraId="2E62A4F8" w14:textId="77777777" w:rsidTr="00CD2CA2">
        <w:trPr>
          <w:trHeight w:val="675"/>
        </w:trPr>
        <w:tc>
          <w:tcPr>
            <w:tcW w:w="2610" w:type="dxa"/>
            <w:hideMark/>
          </w:tcPr>
          <w:p w14:paraId="0DB2811A" w14:textId="77777777" w:rsidR="00CD7C4F" w:rsidRDefault="00CD7C4F" w:rsidP="00CD2CA2">
            <w:pPr>
              <w:pStyle w:val="TableParagraph"/>
              <w:spacing w:before="145" w:line="256" w:lineRule="auto"/>
              <w:ind w:left="108"/>
              <w:rPr>
                <w:b/>
                <w:kern w:val="2"/>
                <w14:ligatures w14:val="standardContextual"/>
              </w:rPr>
            </w:pPr>
            <w:r>
              <w:rPr>
                <w:b/>
                <w:spacing w:val="-2"/>
                <w:kern w:val="2"/>
                <w14:ligatures w14:val="standardContextual"/>
              </w:rPr>
              <w:t>ADJOURNMENT</w:t>
            </w:r>
          </w:p>
        </w:tc>
        <w:tc>
          <w:tcPr>
            <w:tcW w:w="7830" w:type="dxa"/>
            <w:hideMark/>
          </w:tcPr>
          <w:p w14:paraId="140F6A03" w14:textId="75889F83" w:rsidR="00CD7C4F" w:rsidRDefault="00CD7C4F" w:rsidP="00CD2CA2">
            <w:pPr>
              <w:pStyle w:val="TableParagraph"/>
              <w:spacing w:before="145" w:line="256" w:lineRule="auto"/>
            </w:pPr>
            <w:r>
              <w:rPr>
                <w:b/>
                <w:bCs/>
                <w:kern w:val="2"/>
                <w14:ligatures w14:val="standardContextual"/>
              </w:rPr>
              <w:t>L. Deas</w:t>
            </w:r>
            <w:r w:rsidRPr="700EEBEC">
              <w:rPr>
                <w:b/>
                <w:bCs/>
                <w:kern w:val="2"/>
                <w14:ligatures w14:val="standardContextual"/>
              </w:rPr>
              <w:t xml:space="preserve"> adjourned the board meeting at </w:t>
            </w:r>
            <w:r w:rsidR="0090115C">
              <w:rPr>
                <w:b/>
                <w:bCs/>
                <w:kern w:val="2"/>
                <w14:ligatures w14:val="standardContextual"/>
              </w:rPr>
              <w:t>5:07pm</w:t>
            </w:r>
          </w:p>
        </w:tc>
      </w:tr>
    </w:tbl>
    <w:p w14:paraId="3E5154D5" w14:textId="77777777" w:rsidR="003561D2" w:rsidRDefault="003561D2"/>
    <w:sectPr w:rsidR="003561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BBF5F" w14:textId="77777777" w:rsidR="007473E5" w:rsidRDefault="007473E5" w:rsidP="00CD7C4F">
      <w:r>
        <w:separator/>
      </w:r>
    </w:p>
  </w:endnote>
  <w:endnote w:type="continuationSeparator" w:id="0">
    <w:p w14:paraId="0A4F3B27" w14:textId="77777777" w:rsidR="007473E5" w:rsidRDefault="007473E5" w:rsidP="00CD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842A4" w14:textId="77777777" w:rsidR="007473E5" w:rsidRDefault="007473E5" w:rsidP="00CD7C4F">
      <w:r>
        <w:separator/>
      </w:r>
    </w:p>
  </w:footnote>
  <w:footnote w:type="continuationSeparator" w:id="0">
    <w:p w14:paraId="2F217341" w14:textId="77777777" w:rsidR="007473E5" w:rsidRDefault="007473E5" w:rsidP="00CD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3C3E8" w14:textId="7776692A" w:rsidR="00CD7C4F" w:rsidRDefault="00CD7C4F">
    <w:pPr>
      <w:pStyle w:val="Header"/>
    </w:pPr>
    <w:r>
      <w:t xml:space="preserve">                                                       </w:t>
    </w:r>
    <w:r>
      <w:rPr>
        <w:noProof/>
        <w14:ligatures w14:val="standardContextual"/>
      </w:rPr>
      <w:drawing>
        <wp:inline distT="0" distB="0" distL="0" distR="0" wp14:anchorId="02DB7BFD" wp14:editId="46BCDF43">
          <wp:extent cx="2179320" cy="1061022"/>
          <wp:effectExtent l="0" t="0" r="0" b="6350"/>
          <wp:docPr id="1685565817" name="Picture 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565817" name="Picture 2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67" cy="1076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52C4A"/>
    <w:multiLevelType w:val="hybridMultilevel"/>
    <w:tmpl w:val="A672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5429"/>
    <w:multiLevelType w:val="hybridMultilevel"/>
    <w:tmpl w:val="C614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1714C"/>
    <w:multiLevelType w:val="hybridMultilevel"/>
    <w:tmpl w:val="0F6A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41BD0"/>
    <w:multiLevelType w:val="hybridMultilevel"/>
    <w:tmpl w:val="4C4A1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446433">
    <w:abstractNumId w:val="1"/>
  </w:num>
  <w:num w:numId="2" w16cid:durableId="877738466">
    <w:abstractNumId w:val="2"/>
  </w:num>
  <w:num w:numId="3" w16cid:durableId="2030830121">
    <w:abstractNumId w:val="0"/>
  </w:num>
  <w:num w:numId="4" w16cid:durableId="1092165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4F"/>
    <w:rsid w:val="000B211D"/>
    <w:rsid w:val="000B5D4A"/>
    <w:rsid w:val="000C251F"/>
    <w:rsid w:val="000F0B76"/>
    <w:rsid w:val="00107C9E"/>
    <w:rsid w:val="00110C2A"/>
    <w:rsid w:val="00191045"/>
    <w:rsid w:val="001C3510"/>
    <w:rsid w:val="001C7FD7"/>
    <w:rsid w:val="001E1F13"/>
    <w:rsid w:val="001F097B"/>
    <w:rsid w:val="00285B3A"/>
    <w:rsid w:val="00290AD6"/>
    <w:rsid w:val="002C7ECE"/>
    <w:rsid w:val="002D2326"/>
    <w:rsid w:val="002E0B7A"/>
    <w:rsid w:val="002F2D34"/>
    <w:rsid w:val="0030789B"/>
    <w:rsid w:val="003561D2"/>
    <w:rsid w:val="00361883"/>
    <w:rsid w:val="00375BE2"/>
    <w:rsid w:val="00384397"/>
    <w:rsid w:val="00387CB2"/>
    <w:rsid w:val="004059E6"/>
    <w:rsid w:val="004615D4"/>
    <w:rsid w:val="004844F8"/>
    <w:rsid w:val="004D0B72"/>
    <w:rsid w:val="004E18C8"/>
    <w:rsid w:val="004E6113"/>
    <w:rsid w:val="0054124C"/>
    <w:rsid w:val="00572832"/>
    <w:rsid w:val="00580AFE"/>
    <w:rsid w:val="005A2665"/>
    <w:rsid w:val="005E62F7"/>
    <w:rsid w:val="0061122E"/>
    <w:rsid w:val="00651B62"/>
    <w:rsid w:val="006D3E3B"/>
    <w:rsid w:val="006E36B0"/>
    <w:rsid w:val="006E5F7B"/>
    <w:rsid w:val="00704C69"/>
    <w:rsid w:val="00707976"/>
    <w:rsid w:val="0071064B"/>
    <w:rsid w:val="00722F4D"/>
    <w:rsid w:val="00737AD4"/>
    <w:rsid w:val="007473E5"/>
    <w:rsid w:val="007B214D"/>
    <w:rsid w:val="007C78F7"/>
    <w:rsid w:val="007F3A08"/>
    <w:rsid w:val="00822541"/>
    <w:rsid w:val="008237C7"/>
    <w:rsid w:val="008279DE"/>
    <w:rsid w:val="00855D2C"/>
    <w:rsid w:val="008655A4"/>
    <w:rsid w:val="008845E5"/>
    <w:rsid w:val="00896CC5"/>
    <w:rsid w:val="008E616A"/>
    <w:rsid w:val="008E6988"/>
    <w:rsid w:val="008F04BB"/>
    <w:rsid w:val="008F7B37"/>
    <w:rsid w:val="0090115C"/>
    <w:rsid w:val="009120E8"/>
    <w:rsid w:val="0094022B"/>
    <w:rsid w:val="00A12C20"/>
    <w:rsid w:val="00A22D98"/>
    <w:rsid w:val="00A230D4"/>
    <w:rsid w:val="00A44D69"/>
    <w:rsid w:val="00A50628"/>
    <w:rsid w:val="00A80AFA"/>
    <w:rsid w:val="00A86DC2"/>
    <w:rsid w:val="00AE4886"/>
    <w:rsid w:val="00B02924"/>
    <w:rsid w:val="00B94EAB"/>
    <w:rsid w:val="00BE0438"/>
    <w:rsid w:val="00C577B2"/>
    <w:rsid w:val="00C63907"/>
    <w:rsid w:val="00C86962"/>
    <w:rsid w:val="00CD0ACD"/>
    <w:rsid w:val="00CD7C4F"/>
    <w:rsid w:val="00CE7DCF"/>
    <w:rsid w:val="00D15F70"/>
    <w:rsid w:val="00D50DA0"/>
    <w:rsid w:val="00D561CD"/>
    <w:rsid w:val="00D82E7A"/>
    <w:rsid w:val="00D8762B"/>
    <w:rsid w:val="00DA67C2"/>
    <w:rsid w:val="00DB1D66"/>
    <w:rsid w:val="00DB7704"/>
    <w:rsid w:val="00DD32B9"/>
    <w:rsid w:val="00DD77B3"/>
    <w:rsid w:val="00DF25E7"/>
    <w:rsid w:val="00E11390"/>
    <w:rsid w:val="00E41CE2"/>
    <w:rsid w:val="00E57135"/>
    <w:rsid w:val="00E602CB"/>
    <w:rsid w:val="00E60903"/>
    <w:rsid w:val="00E808EA"/>
    <w:rsid w:val="00EC4AF7"/>
    <w:rsid w:val="00ED58C3"/>
    <w:rsid w:val="00F84DC5"/>
    <w:rsid w:val="00F92FD0"/>
    <w:rsid w:val="00FB126B"/>
    <w:rsid w:val="00F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D039B"/>
  <w15:chartTrackingRefBased/>
  <w15:docId w15:val="{0C0878A0-697A-4636-9FC2-794FF044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C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C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C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C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C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C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C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C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C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C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C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C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C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C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C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C4F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CD7C4F"/>
  </w:style>
  <w:style w:type="paragraph" w:styleId="Header">
    <w:name w:val="header"/>
    <w:basedOn w:val="Normal"/>
    <w:link w:val="HeaderChar"/>
    <w:uiPriority w:val="99"/>
    <w:unhideWhenUsed/>
    <w:rsid w:val="00CD7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C4F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7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C4F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Kahdaijah Williams</dc:creator>
  <cp:keywords/>
  <dc:description/>
  <cp:lastModifiedBy>Kahdaijah Williams</cp:lastModifiedBy>
  <cp:revision>2</cp:revision>
  <dcterms:created xsi:type="dcterms:W3CDTF">2024-08-26T14:15:00Z</dcterms:created>
  <dcterms:modified xsi:type="dcterms:W3CDTF">2024-08-26T14:15:00Z</dcterms:modified>
</cp:coreProperties>
</file>